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4874840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447EDB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1200DA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053AE" w:rsidRPr="00D053AE" w:rsidRDefault="005676D5" w:rsidP="00D053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14.10.</w:t>
      </w:r>
      <w:r w:rsidR="00D053AE"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</w:t>
      </w:r>
      <w:r w:rsidR="00447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№5887</w:t>
      </w:r>
      <w:r w:rsidR="00447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-82</w:t>
      </w:r>
      <w:r w:rsidR="00D053AE"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D053AE"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D053AE" w:rsidRPr="0099414E" w:rsidRDefault="00D053A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продовження</w:t>
      </w:r>
      <w:r w:rsidR="005863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договорів оренди нежитлових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приміщень </w:t>
      </w:r>
      <w:proofErr w:type="spellStart"/>
      <w:r w:rsidR="00C140A6" w:rsidRP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="00C140A6" w:rsidRP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територіальної громади з структурними підрозділами Київської обласної </w:t>
      </w:r>
      <w:r w:rsidR="009134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державної </w:t>
      </w:r>
      <w:r w:rsidR="00C140A6" w:rsidRP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(військової) адміністрації</w:t>
      </w:r>
    </w:p>
    <w:p w:rsid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094F" w:rsidRPr="00937800" w:rsidRDefault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FE7860" w:rsidRDefault="000A094F" w:rsidP="00FE7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B126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департаменту охорони здоров’я 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 18.09.2025 №33.03.01/4138-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>2025 (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вх.№12.1-08/1/7824 від 18.09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>.2025)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внутрішнього аудиту 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 59/46.1-</w:t>
      </w:r>
      <w:r w:rsidR="000F0FB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/46/2025 від 19.09.2025 (вх.№12.1-08/1/7880 від 19.09.2025), Служби у справах дітей та сім’ї від 2350/47.01/47.05/2025 від 24.09.2025 (вх.</w:t>
      </w:r>
      <w:r w:rsidR="00120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№12.1-08/1/8035 від 24.09.2025), </w:t>
      </w:r>
      <w:r w:rsid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proofErr w:type="spellStart"/>
      <w:r w:rsid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цифрові</w:t>
      </w:r>
      <w:r w:rsidR="001200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зації</w:t>
      </w:r>
      <w:proofErr w:type="spellEnd"/>
      <w:r w:rsidR="00120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цифрових трансформацій від 07.10.2025 №74/60.1/60.02/2025 (вх.</w:t>
      </w:r>
      <w:r w:rsidR="00567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№12.1-08/1/8449 від 07.10.2025), </w:t>
      </w:r>
      <w:r w:rsidR="00F90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Департаменту фінансів, Департаменту комунікацій, Управління транспортної інфраструктури </w:t>
      </w:r>
      <w:r w:rsidR="00FE7860" w:rsidRP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обласної (військової) державної адміністрації </w:t>
      </w:r>
      <w:r w:rsidR="000F0FBA" w:rsidRP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продовження договорів оренди нежитлових приміщень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врахов</w:t>
      </w:r>
      <w:r w:rsidR="00C140A6">
        <w:rPr>
          <w:rFonts w:ascii="Times New Roman" w:eastAsia="Times New Roman" w:hAnsi="Times New Roman" w:cs="Times New Roman"/>
          <w:sz w:val="26"/>
          <w:szCs w:val="26"/>
          <w:lang w:eastAsia="ru-RU"/>
        </w:rPr>
        <w:t>уючи згоду балансоутримувачів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Методики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134CA" w:rsidRPr="009134CA" w:rsidRDefault="009134C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нежитлового приміщення комунальної власності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Департаментом охорони здоров’я Київської обласної державної (військової) адміністрації, загальною площею 12,3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приміщення № 27, що розташоване за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 w:rsidR="00053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вул.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Склозаводська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7, м. Буча, Київська область, строком на 1 (один) рік, з річної орендною платою 1 (одна) гривня. </w:t>
      </w:r>
    </w:p>
    <w:p w:rsidR="000F0FBA" w:rsidRPr="009134CA" w:rsidRDefault="009134C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родовжити термін дії договору оренди частини нежитлового приміщення комунальної власності </w:t>
      </w:r>
      <w:proofErr w:type="spellStart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Управлінням внутрішнього аудиту Київської обласної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державної</w:t>
      </w:r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(військової) адміністрації, загальною площею 20,0 </w:t>
      </w:r>
      <w:proofErr w:type="spellStart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приміщення № 2-8, що розташоване за </w:t>
      </w:r>
      <w:proofErr w:type="spellStart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вул. Енергетиків, 1-а, м. Буча, Київська область, строком на 1 (один) рік, з річної орендною платою 1 (одна) гривня.</w:t>
      </w:r>
      <w:r w:rsidR="000F0FBA" w:rsidRPr="0091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0FBA" w:rsidRDefault="000F0FB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Продовжити термін дії договору оренди частини нежитлового приміщення комунальної власності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Службою у справах дітей та сім’ї Київської обласної </w:t>
      </w:r>
      <w:r w:rsidR="009134C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державної </w:t>
      </w:r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(військової) адміністрації, загальною площею 29,9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кабінет № 8, що розташований за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бульв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Богдана Хмельницького, 5/5-а, м. Буча, Київська область, строком на 1 (один) рік, з річної орендною платою 1 (одна) гривня.</w:t>
      </w:r>
    </w:p>
    <w:p w:rsidR="001200DA" w:rsidRDefault="001200DA" w:rsidP="001200D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частини нежитлового приміщення комунальної власності </w:t>
      </w:r>
      <w:proofErr w:type="spellStart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Управлінням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 цифрових трансформацій </w:t>
      </w:r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Київської обласної державної (військової) адмі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ністрації, загальною площею 9,4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., а саме приміщення  № 7, що розташоване</w:t>
      </w:r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proofErr w:type="spellStart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Богдана Хмельницького, 4</w:t>
      </w:r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м. Буча, Київська область, строком на 1 (один) рік, з річної орендною платою 1 (одна) гривня.</w:t>
      </w:r>
    </w:p>
    <w:p w:rsidR="00F90939" w:rsidRDefault="00DD45E1" w:rsidP="00F9093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частини нежитлового приміщення комунальної власності </w:t>
      </w:r>
      <w:proofErr w:type="spellStart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Департаментом фінансів Київської обласної (військової) державної адміністрації, загальною площею 20,0 </w:t>
      </w:r>
      <w:proofErr w:type="spellStart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приміщення № 3-1, що розташоване за </w:t>
      </w:r>
      <w:proofErr w:type="spellStart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вул. Енергетиків, 1-а, м. Буча, Київська область, строком на 1 (один) рік, з річної орендною платою 1 (одна) гривня. </w:t>
      </w:r>
    </w:p>
    <w:p w:rsidR="00F90939" w:rsidRDefault="00F90939" w:rsidP="00F9093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нежитлового приміщення комунальної власності </w:t>
      </w:r>
      <w:proofErr w:type="spellStart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Департаментом комунікацій Київської обласної (військової) державної адміністрації, загальною площею 13,6 </w:t>
      </w:r>
      <w:proofErr w:type="spellStart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приміщення № 419, що розташоване за </w:t>
      </w:r>
      <w:proofErr w:type="spellStart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</w:t>
      </w:r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вул. Енергетиків, 12, м. Буча, Київська область, строком на 1 (один) рік, з річної орендною платою 1 (одна) гривня. </w:t>
      </w:r>
    </w:p>
    <w:p w:rsidR="00F90939" w:rsidRDefault="00F90939" w:rsidP="00F9093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частини нежитлового приміщення комунальної власності </w:t>
      </w:r>
      <w:proofErr w:type="spellStart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Управлінням транспортної інфраструктури Київської обласної (військової) державної адміністрації, загальною площею 182,4 </w:t>
      </w:r>
      <w:proofErr w:type="spellStart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що розташоване за </w:t>
      </w:r>
      <w:proofErr w:type="spellStart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вул. Свято-Троїцька, 57,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</w:t>
      </w:r>
      <w:bookmarkStart w:id="0" w:name="_GoBack"/>
      <w:bookmarkEnd w:id="0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с. </w:t>
      </w:r>
      <w:proofErr w:type="spellStart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Гаврилівка</w:t>
      </w:r>
      <w:proofErr w:type="spellEnd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Бучанський</w:t>
      </w:r>
      <w:proofErr w:type="spellEnd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район, Київська область, строком на 1 (один) рік, з річної орендною платою 1 (одна) гривня. </w:t>
      </w:r>
    </w:p>
    <w:p w:rsidR="00F90939" w:rsidRDefault="009134CA" w:rsidP="00F9093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Балансоутримувачам об’єкті</w:t>
      </w:r>
      <w:r w:rsidR="00CE1D84"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оренди, визначених в п. п. 1-5</w:t>
      </w:r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цього рішення, в місячний термін укласти договори оренди об’єктів комунальної власності </w:t>
      </w:r>
      <w:proofErr w:type="spellStart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структурними підрозділами Київської обласної </w:t>
      </w:r>
      <w:r w:rsidR="000536A6"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державної (</w:t>
      </w:r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військової</w:t>
      </w:r>
      <w:r w:rsidR="000536A6"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адміністрації з річною орендною ставкою 1 (одна) гривня, терміном на 1 (один) рік.</w:t>
      </w:r>
    </w:p>
    <w:p w:rsidR="0099414E" w:rsidRPr="00F90939" w:rsidRDefault="0099414E" w:rsidP="00F9093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="00E15BED" w:rsidRPr="00F909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5676D5" w:rsidRPr="005676D5" w:rsidTr="005676D5">
        <w:trPr>
          <w:trHeight w:val="1447"/>
        </w:trPr>
        <w:tc>
          <w:tcPr>
            <w:tcW w:w="3792" w:type="dxa"/>
          </w:tcPr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676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5676D5" w:rsidRPr="005676D5" w:rsidTr="005676D5">
        <w:trPr>
          <w:trHeight w:val="1447"/>
        </w:trPr>
        <w:tc>
          <w:tcPr>
            <w:tcW w:w="3792" w:type="dxa"/>
          </w:tcPr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676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5676D5" w:rsidRPr="005676D5" w:rsidTr="005676D5">
        <w:trPr>
          <w:trHeight w:val="1447"/>
        </w:trPr>
        <w:tc>
          <w:tcPr>
            <w:tcW w:w="3792" w:type="dxa"/>
          </w:tcPr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Pr="0099414E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sectPr w:rsidR="009134CA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77318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263757EE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2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3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536A6"/>
    <w:rsid w:val="000676D7"/>
    <w:rsid w:val="00081A09"/>
    <w:rsid w:val="000A094F"/>
    <w:rsid w:val="000E7882"/>
    <w:rsid w:val="000F0FBA"/>
    <w:rsid w:val="001200DA"/>
    <w:rsid w:val="002B66A3"/>
    <w:rsid w:val="002D6C5A"/>
    <w:rsid w:val="002F5BE5"/>
    <w:rsid w:val="00335A3E"/>
    <w:rsid w:val="003409EC"/>
    <w:rsid w:val="003B4384"/>
    <w:rsid w:val="003F654E"/>
    <w:rsid w:val="00447EDB"/>
    <w:rsid w:val="004B0E49"/>
    <w:rsid w:val="00500C5C"/>
    <w:rsid w:val="00511179"/>
    <w:rsid w:val="005676D5"/>
    <w:rsid w:val="00586381"/>
    <w:rsid w:val="0061718D"/>
    <w:rsid w:val="00640434"/>
    <w:rsid w:val="00661E7C"/>
    <w:rsid w:val="0072081F"/>
    <w:rsid w:val="0072781E"/>
    <w:rsid w:val="009134CA"/>
    <w:rsid w:val="00937800"/>
    <w:rsid w:val="0099414E"/>
    <w:rsid w:val="00A84BF1"/>
    <w:rsid w:val="00B126E9"/>
    <w:rsid w:val="00C140A6"/>
    <w:rsid w:val="00CE1D84"/>
    <w:rsid w:val="00D00430"/>
    <w:rsid w:val="00D053AE"/>
    <w:rsid w:val="00DD45E1"/>
    <w:rsid w:val="00E15BED"/>
    <w:rsid w:val="00E27FB0"/>
    <w:rsid w:val="00E71E3D"/>
    <w:rsid w:val="00EB71B2"/>
    <w:rsid w:val="00F171F5"/>
    <w:rsid w:val="00F33480"/>
    <w:rsid w:val="00F90939"/>
    <w:rsid w:val="00FD2BAD"/>
    <w:rsid w:val="00FE5164"/>
    <w:rsid w:val="00FE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1E05C5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F0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3639</Words>
  <Characters>2075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41</cp:revision>
  <cp:lastPrinted>2025-04-23T12:02:00Z</cp:lastPrinted>
  <dcterms:created xsi:type="dcterms:W3CDTF">2024-02-13T13:56:00Z</dcterms:created>
  <dcterms:modified xsi:type="dcterms:W3CDTF">2025-11-17T13:54:00Z</dcterms:modified>
</cp:coreProperties>
</file>